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BF5707" w:rsidRDefault="0067197F" w:rsidP="0067197F">
      <w:pPr>
        <w:keepNext/>
        <w:keepLines/>
        <w:tabs>
          <w:tab w:val="right" w:pos="9637"/>
        </w:tabs>
        <w:spacing w:after="360" w:line="288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F5707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Pr="00BF5707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Pr="00BF5707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:rsidR="006F7E85" w:rsidRPr="00BF5707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Określenie przedmiotu zamówienia:</w:t>
      </w:r>
    </w:p>
    <w:p w:rsidR="006F7E85" w:rsidRPr="00BF5707" w:rsidRDefault="006F7E85" w:rsidP="0047179C">
      <w:pPr>
        <w:spacing w:line="240" w:lineRule="auto"/>
        <w:ind w:left="425"/>
        <w:rPr>
          <w:rFonts w:cs="Arial"/>
          <w:szCs w:val="22"/>
        </w:rPr>
      </w:pPr>
      <w:r w:rsidRPr="00BF5707">
        <w:rPr>
          <w:rFonts w:cs="Arial"/>
          <w:szCs w:val="22"/>
        </w:rPr>
        <w:t xml:space="preserve">Przedmiotem zamówienia jest wykonanie </w:t>
      </w:r>
      <w:r w:rsidR="00D50830" w:rsidRPr="00BF5707">
        <w:rPr>
          <w:rFonts w:cs="Arial"/>
          <w:szCs w:val="22"/>
        </w:rPr>
        <w:t>robót budowlanych zgodnie z umową o roboty budowlane</w:t>
      </w:r>
      <w:r w:rsidRPr="00BF5707">
        <w:rPr>
          <w:rFonts w:cs="Arial"/>
          <w:szCs w:val="22"/>
        </w:rPr>
        <w:t xml:space="preserve">, dla </w:t>
      </w:r>
      <w:r w:rsidR="005B1B0B" w:rsidRPr="00BF5707">
        <w:rPr>
          <w:rFonts w:cs="Arial"/>
          <w:szCs w:val="22"/>
        </w:rPr>
        <w:t>części</w:t>
      </w:r>
      <w:r w:rsidR="0005777F" w:rsidRPr="00BF5707">
        <w:rPr>
          <w:rFonts w:cs="Arial"/>
          <w:szCs w:val="22"/>
        </w:rPr>
        <w:t xml:space="preserve"> </w:t>
      </w:r>
      <w:r w:rsidR="005B1B0B" w:rsidRPr="00BF5707">
        <w:rPr>
          <w:rFonts w:cs="Arial"/>
          <w:szCs w:val="22"/>
        </w:rPr>
        <w:t>(zadań)</w:t>
      </w:r>
      <w:r w:rsidRPr="00BF5707">
        <w:rPr>
          <w:rFonts w:cs="Arial"/>
          <w:szCs w:val="22"/>
        </w:rPr>
        <w:t xml:space="preserve"> wyszczególnionych przez Zamawiającego poniżej.</w:t>
      </w:r>
    </w:p>
    <w:p w:rsidR="00C86FCD" w:rsidRPr="00BF5707" w:rsidRDefault="00BF5707" w:rsidP="0067197F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84"/>
        <w:jc w:val="left"/>
        <w:rPr>
          <w:rFonts w:cs="Arial"/>
          <w:b w:val="0"/>
          <w:sz w:val="22"/>
          <w:szCs w:val="22"/>
        </w:rPr>
      </w:pPr>
      <w:r w:rsidRPr="00BF5707">
        <w:rPr>
          <w:rFonts w:ascii="Calibri" w:hAnsi="Calibri" w:cs="Arial"/>
          <w:i/>
          <w:snapToGrid w:val="0"/>
          <w:sz w:val="22"/>
          <w:szCs w:val="22"/>
        </w:rPr>
        <w:t>Wymiana stolarki okiennej w budynku usług technicznych Rejonu Energetycznego Sanok</w:t>
      </w:r>
      <w:r w:rsidR="009F751A">
        <w:rPr>
          <w:rFonts w:ascii="Calibri" w:hAnsi="Calibri" w:cs="Arial"/>
          <w:i/>
          <w:snapToGrid w:val="0"/>
          <w:sz w:val="22"/>
          <w:szCs w:val="22"/>
        </w:rPr>
        <w:t xml:space="preserve"> – ściana wschodnia budynku</w:t>
      </w:r>
    </w:p>
    <w:p w:rsidR="00C86FCD" w:rsidRPr="00BF5707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BF5707">
        <w:rPr>
          <w:rFonts w:cs="Arial"/>
          <w:b w:val="0"/>
          <w:sz w:val="16"/>
          <w:szCs w:val="22"/>
        </w:rPr>
        <w:t xml:space="preserve">Nazwa </w:t>
      </w:r>
      <w:r w:rsidR="00CB3F8F" w:rsidRPr="00BF5707">
        <w:rPr>
          <w:rFonts w:cs="Arial"/>
          <w:b w:val="0"/>
          <w:sz w:val="16"/>
          <w:szCs w:val="22"/>
        </w:rPr>
        <w:t>części</w:t>
      </w:r>
    </w:p>
    <w:p w:rsidR="006F7E85" w:rsidRPr="00BF5707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Zasady realizacji robót budowlanych.</w:t>
      </w:r>
    </w:p>
    <w:p w:rsidR="006F7E85" w:rsidRPr="00BF5707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Na realizację robót budowlanych zawarta zostanie umowa pisemna, któ</w:t>
      </w:r>
      <w:r w:rsidR="00002349" w:rsidRPr="00BF5707">
        <w:rPr>
          <w:rFonts w:cs="Arial"/>
          <w:szCs w:val="22"/>
        </w:rPr>
        <w:t>rej wzór jest załącznikiem do S</w:t>
      </w:r>
      <w:r w:rsidRPr="00BF5707">
        <w:rPr>
          <w:rFonts w:cs="Arial"/>
          <w:szCs w:val="22"/>
        </w:rPr>
        <w:t>WZ.</w:t>
      </w:r>
    </w:p>
    <w:p w:rsidR="006F7E85" w:rsidRPr="00BF5707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Załącznikiem do ww. umowy będzie przyjęta oferta Wykonawcy.</w:t>
      </w:r>
    </w:p>
    <w:p w:rsidR="006F7E85" w:rsidRPr="00BF5707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Termin realizacji wykonania robót budowlanych może ulec przesunięciu tylko</w:t>
      </w:r>
      <w:r w:rsidR="00F265AE" w:rsidRPr="00BF5707">
        <w:rPr>
          <w:rFonts w:cs="Arial"/>
          <w:szCs w:val="22"/>
        </w:rPr>
        <w:t xml:space="preserve"> w </w:t>
      </w:r>
      <w:r w:rsidRPr="00BF5707">
        <w:rPr>
          <w:rFonts w:cs="Arial"/>
          <w:szCs w:val="22"/>
        </w:rPr>
        <w:t>przypadkach określonych</w:t>
      </w:r>
      <w:r w:rsidR="00F265AE" w:rsidRPr="00BF5707">
        <w:rPr>
          <w:rFonts w:cs="Arial"/>
          <w:szCs w:val="22"/>
        </w:rPr>
        <w:t xml:space="preserve"> w </w:t>
      </w:r>
      <w:r w:rsidRPr="00BF5707">
        <w:rPr>
          <w:rFonts w:cs="Arial"/>
          <w:szCs w:val="22"/>
        </w:rPr>
        <w:t>umowie.</w:t>
      </w:r>
    </w:p>
    <w:p w:rsidR="006F7E85" w:rsidRPr="00BF5707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Obowiązki Wykonawcy przed złożeniem oferty:</w:t>
      </w:r>
    </w:p>
    <w:p w:rsidR="00BF5707" w:rsidRPr="00BF5707" w:rsidRDefault="00BF5707" w:rsidP="00BF570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Zapoznanie się ze specyfikacją zamówienia, wymiarami i wymaganiami technicznymi nowych okien, konieczna wizja lokalna.</w:t>
      </w:r>
    </w:p>
    <w:p w:rsidR="00BF5707" w:rsidRPr="00BF5707" w:rsidRDefault="00BF5707" w:rsidP="00BF570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Zapoznanie się z warunkami i wymaganiami ofer</w:t>
      </w:r>
      <w:r w:rsidR="001C765F">
        <w:rPr>
          <w:rFonts w:cs="Arial"/>
          <w:szCs w:val="22"/>
        </w:rPr>
        <w:t xml:space="preserve">towymi i treścią projektu umowy </w:t>
      </w:r>
      <w:r w:rsidRPr="00BF5707">
        <w:rPr>
          <w:rFonts w:cs="Arial"/>
          <w:szCs w:val="22"/>
        </w:rPr>
        <w:t>o roboty budowlane,</w:t>
      </w:r>
    </w:p>
    <w:p w:rsidR="006F7E85" w:rsidRPr="00BF5707" w:rsidRDefault="00BF5707" w:rsidP="00BF5707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Uwzględnienie ww. warunków w ofercie.</w:t>
      </w:r>
    </w:p>
    <w:p w:rsidR="00BF5707" w:rsidRPr="00BF5707" w:rsidRDefault="00BF5707" w:rsidP="00BF5707">
      <w:pPr>
        <w:pStyle w:val="Akapitzlist"/>
        <w:numPr>
          <w:ilvl w:val="0"/>
          <w:numId w:val="7"/>
        </w:numPr>
        <w:spacing w:before="120" w:after="120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Obiekt zamówienia:</w:t>
      </w:r>
    </w:p>
    <w:p w:rsidR="00E67BE9" w:rsidRPr="00BF5707" w:rsidRDefault="00BF5707" w:rsidP="00BF5707">
      <w:pPr>
        <w:widowControl/>
        <w:adjustRightInd/>
        <w:spacing w:line="240" w:lineRule="auto"/>
        <w:ind w:left="425"/>
        <w:textAlignment w:val="auto"/>
        <w:rPr>
          <w:rFonts w:cs="Arial"/>
          <w:szCs w:val="22"/>
        </w:rPr>
      </w:pPr>
      <w:r w:rsidRPr="00BF5707">
        <w:rPr>
          <w:rFonts w:cs="Arial"/>
          <w:b/>
          <w:szCs w:val="22"/>
        </w:rPr>
        <w:t>Budynek usług technicznych Rejonu Energetycznego Sanok w msc. Sanok</w:t>
      </w:r>
      <w:r w:rsidRPr="00BF5707">
        <w:rPr>
          <w:rFonts w:cs="Arial"/>
          <w:szCs w:val="22"/>
        </w:rPr>
        <w:t>, ul. Lipińskiego 138, 38-500 Sanok, Wizja  lokalna w godz. 8:00 – 14:00 po wcześniejszym telefonicznym ustaleniu terminu: tel: 13 465 5460</w:t>
      </w:r>
      <w:r w:rsidR="00E67BE9" w:rsidRPr="00BF5707">
        <w:rPr>
          <w:rFonts w:cs="Arial"/>
          <w:szCs w:val="22"/>
        </w:rPr>
        <w:t xml:space="preserve"> </w:t>
      </w:r>
    </w:p>
    <w:p w:rsidR="006F7E85" w:rsidRPr="00BF5707" w:rsidRDefault="00D50830" w:rsidP="00AB7DF7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O</w:t>
      </w:r>
      <w:r w:rsidR="006F7E85" w:rsidRPr="00BF5707">
        <w:rPr>
          <w:rFonts w:cs="Arial"/>
          <w:b/>
          <w:szCs w:val="22"/>
        </w:rPr>
        <w:t xml:space="preserve">pis </w:t>
      </w:r>
      <w:r w:rsidR="005B1B0B" w:rsidRPr="00BF5707">
        <w:rPr>
          <w:rFonts w:cs="Arial"/>
          <w:b/>
          <w:szCs w:val="22"/>
        </w:rPr>
        <w:t>zadania</w:t>
      </w:r>
      <w:r w:rsidR="006F7E85" w:rsidRPr="00BF5707">
        <w:rPr>
          <w:rFonts w:cs="Arial"/>
          <w:b/>
          <w:szCs w:val="22"/>
        </w:rPr>
        <w:t xml:space="preserve">: </w:t>
      </w:r>
    </w:p>
    <w:p w:rsidR="006F7E85" w:rsidRPr="00BF5707" w:rsidRDefault="00BF5707" w:rsidP="0067197F">
      <w:pPr>
        <w:pStyle w:val="Tekstpodstawowywcity"/>
        <w:spacing w:line="240" w:lineRule="auto"/>
        <w:ind w:left="426"/>
        <w:rPr>
          <w:rFonts w:cs="Arial"/>
          <w:b/>
          <w:sz w:val="22"/>
          <w:szCs w:val="22"/>
        </w:rPr>
      </w:pPr>
      <w:bookmarkStart w:id="1" w:name="_GoBack"/>
      <w:bookmarkEnd w:id="1"/>
      <w:r w:rsidRPr="00BF5707">
        <w:rPr>
          <w:rFonts w:ascii="Calibri" w:hAnsi="Calibri" w:cs="Arial"/>
          <w:i/>
          <w:snapToGrid w:val="0"/>
          <w:sz w:val="22"/>
          <w:szCs w:val="22"/>
        </w:rPr>
        <w:t>Wymiana stolarki okiennej w budynku usług technicznych Rejonu Energetycznego Sanok</w:t>
      </w:r>
      <w:r w:rsidR="009F751A">
        <w:rPr>
          <w:rFonts w:ascii="Calibri" w:hAnsi="Calibri" w:cs="Arial"/>
          <w:i/>
          <w:snapToGrid w:val="0"/>
          <w:sz w:val="22"/>
          <w:szCs w:val="22"/>
        </w:rPr>
        <w:t xml:space="preserve"> – ściana wschodnia budynku</w:t>
      </w:r>
      <w:r w:rsidRPr="00BF5707">
        <w:rPr>
          <w:rFonts w:ascii="Calibri" w:hAnsi="Calibri" w:cs="Arial"/>
          <w:i/>
          <w:snapToGrid w:val="0"/>
          <w:sz w:val="22"/>
          <w:szCs w:val="22"/>
        </w:rPr>
        <w:t>.</w:t>
      </w:r>
    </w:p>
    <w:p w:rsidR="00BF5707" w:rsidRPr="00BF5707" w:rsidRDefault="00BF5707" w:rsidP="00BF5707">
      <w:pPr>
        <w:spacing w:before="240" w:line="240" w:lineRule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Wymiana istniejących 1</w:t>
      </w:r>
      <w:r w:rsidR="00026B33">
        <w:rPr>
          <w:rFonts w:cs="Arial"/>
          <w:b/>
          <w:szCs w:val="22"/>
        </w:rPr>
        <w:t>5</w:t>
      </w:r>
      <w:r w:rsidR="00CF3258">
        <w:rPr>
          <w:rFonts w:cs="Arial"/>
          <w:b/>
          <w:szCs w:val="22"/>
        </w:rPr>
        <w:t xml:space="preserve"> </w:t>
      </w:r>
      <w:r w:rsidRPr="00BF5707">
        <w:rPr>
          <w:rFonts w:cs="Arial"/>
          <w:b/>
          <w:szCs w:val="22"/>
        </w:rPr>
        <w:t>okien w zakresie:</w:t>
      </w:r>
    </w:p>
    <w:p w:rsidR="00BF5707" w:rsidRPr="00BF5707" w:rsidRDefault="00BF5707" w:rsidP="00BF5707">
      <w:pPr>
        <w:spacing w:before="240" w:line="240" w:lineRule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- demontaż istniejących okien wraz z utylizacją – 1</w:t>
      </w:r>
      <w:r w:rsidR="00026B33">
        <w:rPr>
          <w:rFonts w:cs="Arial"/>
          <w:b/>
          <w:szCs w:val="22"/>
        </w:rPr>
        <w:t>5</w:t>
      </w:r>
      <w:r w:rsidRPr="00BF5707">
        <w:rPr>
          <w:rFonts w:cs="Arial"/>
          <w:b/>
          <w:szCs w:val="22"/>
        </w:rPr>
        <w:t xml:space="preserve"> szt.</w:t>
      </w:r>
    </w:p>
    <w:p w:rsidR="00BF5707" w:rsidRPr="00BF5707" w:rsidRDefault="00BF5707" w:rsidP="00BF5707">
      <w:pPr>
        <w:spacing w:before="240" w:line="240" w:lineRule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- dostarczenie i montaż podstawowych nowych okien PCV w istniejące otwory 1</w:t>
      </w:r>
      <w:r w:rsidR="00026B33">
        <w:rPr>
          <w:rFonts w:cs="Arial"/>
          <w:b/>
          <w:szCs w:val="22"/>
        </w:rPr>
        <w:t>5</w:t>
      </w:r>
      <w:r w:rsidRPr="00BF5707">
        <w:rPr>
          <w:rFonts w:cs="Arial"/>
          <w:b/>
          <w:szCs w:val="22"/>
        </w:rPr>
        <w:t xml:space="preserve"> szt.</w:t>
      </w:r>
    </w:p>
    <w:p w:rsidR="00BF5707" w:rsidRPr="00BF5707" w:rsidRDefault="00BF5707" w:rsidP="00BF5707">
      <w:pPr>
        <w:spacing w:before="240" w:line="240" w:lineRule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- obróbka tynkarska od strony wewnętrznej i zewnętrznej (wypełnienie ubytków tynku i pomalowanie)</w:t>
      </w:r>
    </w:p>
    <w:p w:rsidR="00BF5707" w:rsidRPr="00BF5707" w:rsidRDefault="00BF5707" w:rsidP="00BF5707">
      <w:pPr>
        <w:spacing w:before="240" w:line="240" w:lineRule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- dostarczenie i montaż parapetu zewnętrznego metalowego w kolorze niebieskim.</w:t>
      </w:r>
    </w:p>
    <w:p w:rsidR="00BF5707" w:rsidRPr="00BF5707" w:rsidRDefault="00BF5707" w:rsidP="00BF5707">
      <w:pPr>
        <w:spacing w:before="240" w:line="240" w:lineRule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- wykaz okien, parametrów, oraz przybliżone wymiary zawiera Załącznik nr 1 do specyfikacji</w:t>
      </w:r>
      <w:r w:rsidR="00580B0E">
        <w:rPr>
          <w:rFonts w:cs="Arial"/>
          <w:b/>
          <w:szCs w:val="22"/>
        </w:rPr>
        <w:t xml:space="preserve"> </w:t>
      </w:r>
      <w:r w:rsidRPr="00BF5707">
        <w:rPr>
          <w:rFonts w:cs="Arial"/>
          <w:b/>
          <w:szCs w:val="22"/>
        </w:rPr>
        <w:t>(strona 1 i 2)</w:t>
      </w:r>
    </w:p>
    <w:p w:rsidR="00BF5707" w:rsidRPr="00BF5707" w:rsidRDefault="00BF5707" w:rsidP="00BF5707">
      <w:pPr>
        <w:spacing w:before="240" w:line="240" w:lineRule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- konieczna jest wizja lokalna w siedzibie Zamawiającego ul. Lipińskiego 138 w godz.: 8:00 – 14:00</w:t>
      </w:r>
    </w:p>
    <w:p w:rsidR="00BF5707" w:rsidRPr="00BF5707" w:rsidRDefault="00BF5707" w:rsidP="00BF5707">
      <w:pPr>
        <w:spacing w:before="240"/>
        <w:rPr>
          <w:rFonts w:cs="Arial"/>
          <w:b/>
          <w:sz w:val="20"/>
          <w:u w:val="single"/>
        </w:rPr>
      </w:pPr>
      <w:r w:rsidRPr="00BF5707">
        <w:rPr>
          <w:rFonts w:cs="Arial"/>
          <w:b/>
          <w:sz w:val="20"/>
          <w:u w:val="single"/>
        </w:rPr>
        <w:t>UWAGA !</w:t>
      </w:r>
    </w:p>
    <w:p w:rsidR="00D50830" w:rsidRPr="00BF5707" w:rsidRDefault="00BF5707" w:rsidP="00BF5707">
      <w:pPr>
        <w:pStyle w:val="Tekstpodstawowywcity"/>
        <w:spacing w:line="240" w:lineRule="auto"/>
        <w:ind w:left="426"/>
        <w:rPr>
          <w:rFonts w:cs="Arial"/>
          <w:bCs/>
          <w:iCs/>
          <w:sz w:val="22"/>
          <w:szCs w:val="22"/>
        </w:rPr>
      </w:pPr>
      <w:r w:rsidRPr="00BF5707">
        <w:rPr>
          <w:rFonts w:cs="Arial"/>
          <w:b/>
          <w:i/>
          <w:sz w:val="22"/>
          <w:szCs w:val="22"/>
        </w:rPr>
        <w:t>Powyższe wielkości a także przedmiar robót załączony do specyfikacji  są informacjami pomocniczymi i nie stanowią podstawy do kosztorysowania robót przez Wykonawcę przy sporządzaniu oferty.</w:t>
      </w:r>
    </w:p>
    <w:p w:rsidR="00BC16F3" w:rsidRDefault="00BC16F3" w:rsidP="00BF5707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</w:p>
    <w:p w:rsidR="00BF5707" w:rsidRPr="00BF5707" w:rsidRDefault="00BF5707" w:rsidP="00BF5707">
      <w:pPr>
        <w:widowControl/>
        <w:adjustRightInd/>
        <w:spacing w:before="120" w:after="120" w:line="240" w:lineRule="auto"/>
        <w:ind w:left="425"/>
        <w:textAlignment w:val="auto"/>
        <w:rPr>
          <w:rFonts w:cs="Arial"/>
          <w:b/>
          <w:szCs w:val="22"/>
        </w:rPr>
      </w:pPr>
      <w:r w:rsidRPr="00BF5707">
        <w:rPr>
          <w:rFonts w:cs="Arial"/>
          <w:b/>
          <w:szCs w:val="22"/>
        </w:rPr>
        <w:t>Wymagania dodatkowe</w:t>
      </w:r>
    </w:p>
    <w:p w:rsidR="00BF5707" w:rsidRPr="00BF5707" w:rsidRDefault="00BF5707" w:rsidP="00BF5707">
      <w:pPr>
        <w:widowControl/>
        <w:numPr>
          <w:ilvl w:val="0"/>
          <w:numId w:val="3"/>
        </w:numPr>
        <w:autoSpaceDE w:val="0"/>
        <w:autoSpaceDN w:val="0"/>
        <w:adjustRightInd/>
        <w:spacing w:before="120" w:after="120" w:line="240" w:lineRule="auto"/>
        <w:ind w:left="426"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W kwocie oferty zgodnie z treścią umowy Wykonawca uwzględni wszystkie koszty związane z wykonaniem przedmiotu umowy. Kwota pozostanie niezmienna do końca realizacji zadania. Zakres kosztów obejmuje m.in.: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lastRenderedPageBreak/>
        <w:t>koszty wszystkich uzgodnień, niezbędnych do realizacji przedmiotu zamówienia,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organizacji zaplecza budowy dla potrzeb Wykonawcy robót,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dokumentacji projektowej lub przepisów odrębnych),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BF5707" w:rsidRPr="00BF5707" w:rsidRDefault="00BF5707" w:rsidP="00BF5707">
      <w:pPr>
        <w:widowControl/>
        <w:numPr>
          <w:ilvl w:val="2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BF5707" w:rsidRPr="00BF5707" w:rsidRDefault="00BF5707" w:rsidP="00BF5707">
      <w:pPr>
        <w:widowControl/>
        <w:numPr>
          <w:ilvl w:val="2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BF5707" w:rsidRPr="00BF5707" w:rsidRDefault="00BF5707" w:rsidP="00BF5707">
      <w:pPr>
        <w:widowControl/>
        <w:numPr>
          <w:ilvl w:val="2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pacing w:val="-3"/>
          <w:szCs w:val="22"/>
        </w:rPr>
        <w:t>ewentualnych kar za przekroczenia lub wady odtworzenia,</w:t>
      </w:r>
    </w:p>
    <w:p w:rsidR="00BF5707" w:rsidRPr="00BF5707" w:rsidRDefault="00BF5707" w:rsidP="00BF5707">
      <w:pPr>
        <w:widowControl/>
        <w:numPr>
          <w:ilvl w:val="2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projektowej oraz opłat za umieszczenie urządzeń w terenie kolejowym i Lasów Państwowych,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BF5707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odbiorów innych niż odbiory inwestorskie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pracy sprzętu i innego wyposażenia technicznego niezbędnego do wykonania przedmiotu zamówienia,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likwidacji placu budowy,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wszelkie podjęte przez Wykonawcę środki, zabezpieczające Zamawiającego od roszczeń:</w:t>
      </w:r>
    </w:p>
    <w:p w:rsidR="00BF5707" w:rsidRPr="00BF5707" w:rsidRDefault="00BF5707" w:rsidP="00BF5707">
      <w:pPr>
        <w:widowControl/>
        <w:numPr>
          <w:ilvl w:val="2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BF5707" w:rsidRPr="00BF5707" w:rsidRDefault="00BF5707" w:rsidP="00BF5707">
      <w:pPr>
        <w:widowControl/>
        <w:numPr>
          <w:ilvl w:val="2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BF5707" w:rsidRPr="00BF5707" w:rsidRDefault="00BF5707" w:rsidP="00BF5707">
      <w:pPr>
        <w:widowControl/>
        <w:numPr>
          <w:ilvl w:val="2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warunki gwarancji i rękojmi,</w:t>
      </w:r>
    </w:p>
    <w:p w:rsidR="00BF5707" w:rsidRP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warunki na terenie placu budowy na podstawie oględzin ternu budowy.</w:t>
      </w:r>
    </w:p>
    <w:p w:rsidR="00BF5707" w:rsidRPr="00BF5707" w:rsidRDefault="00BF5707" w:rsidP="00BF5707">
      <w:pPr>
        <w:widowControl/>
        <w:numPr>
          <w:ilvl w:val="0"/>
          <w:numId w:val="3"/>
        </w:numPr>
        <w:autoSpaceDE w:val="0"/>
        <w:autoSpaceDN w:val="0"/>
        <w:adjustRightInd/>
        <w:spacing w:before="120" w:after="120" w:line="240" w:lineRule="auto"/>
        <w:ind w:left="426"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Szczegółowe warunki realizacji robót:</w:t>
      </w:r>
    </w:p>
    <w:p w:rsidR="00BF5707" w:rsidRDefault="00BF5707" w:rsidP="00BF5707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Dostarczane i montowane materiały i urządzenia winny być fabrycznie nowe (nie starsze niż 12 miesięcy)</w:t>
      </w:r>
    </w:p>
    <w:p w:rsidR="009F751A" w:rsidRPr="009F751A" w:rsidRDefault="009F751A" w:rsidP="009F751A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9F751A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9F751A" w:rsidRPr="00540CB9" w:rsidRDefault="009F751A" w:rsidP="009F751A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Pr="000B72E0">
        <w:rPr>
          <w:rFonts w:cs="Arial"/>
          <w:spacing w:val="-3"/>
          <w:szCs w:val="22"/>
        </w:rPr>
        <w:t>Sanok.</w:t>
      </w:r>
    </w:p>
    <w:p w:rsidR="009F751A" w:rsidRDefault="009F751A" w:rsidP="009F751A">
      <w:pPr>
        <w:widowControl/>
        <w:numPr>
          <w:ilvl w:val="3"/>
          <w:numId w:val="7"/>
        </w:numPr>
        <w:tabs>
          <w:tab w:val="clear" w:pos="163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540CB9">
        <w:rPr>
          <w:rFonts w:cs="Arial"/>
          <w:spacing w:val="-3"/>
          <w:szCs w:val="22"/>
        </w:rPr>
        <w:t>pozostałe materiały przekazać na złom, do recyklingu lub do utylizacji przez uprawnioną firmę.</w:t>
      </w:r>
    </w:p>
    <w:p w:rsidR="00675D2A" w:rsidRDefault="00BF5707" w:rsidP="00675D2A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BF5707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</w:t>
      </w:r>
      <w:r w:rsidR="00675D2A">
        <w:rPr>
          <w:rFonts w:cs="Arial"/>
          <w:szCs w:val="22"/>
        </w:rPr>
        <w:t>wiającego lub innych podmiotów.</w:t>
      </w:r>
    </w:p>
    <w:p w:rsidR="00675D2A" w:rsidRDefault="00675D2A" w:rsidP="00675D2A">
      <w:pPr>
        <w:widowControl/>
        <w:numPr>
          <w:ilvl w:val="1"/>
          <w:numId w:val="3"/>
        </w:numPr>
        <w:autoSpaceDE w:val="0"/>
        <w:autoSpaceDN w:val="0"/>
        <w:adjustRightInd/>
        <w:spacing w:line="240" w:lineRule="auto"/>
        <w:ind w:left="426"/>
        <w:contextualSpacing/>
        <w:textAlignment w:val="auto"/>
        <w:rPr>
          <w:rFonts w:cs="Arial"/>
          <w:szCs w:val="22"/>
        </w:rPr>
      </w:pPr>
      <w:r w:rsidRPr="00540CB9">
        <w:rPr>
          <w:rFonts w:cs="Arial"/>
          <w:szCs w:val="22"/>
        </w:rPr>
        <w:t xml:space="preserve">Teren po robotach należy </w:t>
      </w:r>
      <w:r>
        <w:rPr>
          <w:rFonts w:cs="Arial"/>
          <w:szCs w:val="22"/>
        </w:rPr>
        <w:t xml:space="preserve">uporządkować i </w:t>
      </w:r>
      <w:r w:rsidRPr="00540CB9">
        <w:rPr>
          <w:rFonts w:cs="Arial"/>
          <w:szCs w:val="22"/>
        </w:rPr>
        <w:t xml:space="preserve">doprowadzić do stanu wymaganego przez </w:t>
      </w:r>
      <w:r>
        <w:rPr>
          <w:rFonts w:cs="Arial"/>
          <w:szCs w:val="22"/>
        </w:rPr>
        <w:t>Zamawiającego</w:t>
      </w:r>
    </w:p>
    <w:p w:rsidR="009F751A" w:rsidRPr="00BF5707" w:rsidRDefault="009F751A" w:rsidP="009F751A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sectPr w:rsidR="009F751A" w:rsidRPr="00BF5707" w:rsidSect="009E60C4">
      <w:type w:val="continuous"/>
      <w:pgSz w:w="11906" w:h="16838"/>
      <w:pgMar w:top="851" w:right="1418" w:bottom="851" w:left="851" w:header="708" w:footer="708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01D" w:rsidRDefault="0062201D">
      <w:r>
        <w:separator/>
      </w:r>
    </w:p>
  </w:endnote>
  <w:endnote w:type="continuationSeparator" w:id="0">
    <w:p w:rsidR="0062201D" w:rsidRDefault="0062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01D" w:rsidRDefault="0062201D">
      <w:r>
        <w:separator/>
      </w:r>
    </w:p>
  </w:footnote>
  <w:footnote w:type="continuationSeparator" w:id="0">
    <w:p w:rsidR="0062201D" w:rsidRDefault="00622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33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6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6B60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5F4C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0B0E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9CA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201D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5D2A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51A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EDC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16F3"/>
    <w:rsid w:val="00BC2657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5707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258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4E43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CF957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techniczna.docx</dmsv2BaseFileName>
    <dmsv2BaseDisplayName xmlns="http://schemas.microsoft.com/sharepoint/v3">Załącznik nr 1 - Specyfikacja techniczna</dmsv2BaseDisplayName>
    <dmsv2SWPP2ObjectNumber xmlns="http://schemas.microsoft.com/sharepoint/v3" xsi:nil="true"/>
    <dmsv2SWPP2SumMD5 xmlns="http://schemas.microsoft.com/sharepoint/v3">27e88bda57a366c64a37665089d279a0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684150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22691497</dmsv2BaseClientSystemDocumentID>
    <dmsv2BaseModifiedByID xmlns="http://schemas.microsoft.com/sharepoint/v3">10100226</dmsv2BaseModifiedByID>
    <dmsv2BaseCreatedByID xmlns="http://schemas.microsoft.com/sharepoint/v3">10100226</dmsv2BaseCreatedByID>
    <dmsv2SWPP2ObjectDepartment xmlns="http://schemas.microsoft.com/sharepoint/v3">00000001000700030000000f000000000001</dmsv2SWPP2ObjectDepartment>
    <dmsv2SWPP2ObjectName xmlns="http://schemas.microsoft.com/sharepoint/v3">Wniosek</dmsv2SWPP2ObjectName>
    <_dlc_DocId xmlns="a19cb1c7-c5c7-46d4-85ae-d83685407bba">XD3KHSRJV2AP-92384522-20737</_dlc_DocId>
    <_dlc_DocIdUrl xmlns="a19cb1c7-c5c7-46d4-85ae-d83685407bba">
      <Url>https://swpp2.dms.gkpge.pl/sites/38/_layouts/15/DocIdRedir.aspx?ID=XD3KHSRJV2AP-92384522-20737</Url>
      <Description>XD3KHSRJV2AP-92384522-20737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2774B0680DB8142B17E62E4832D1A2A" ma:contentTypeVersion="0" ma:contentTypeDescription="SWPP2 Dokument bazowy" ma:contentTypeScope="" ma:versionID="204e891012921b03767676508c7d379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A042A38-AE7F-4572-A8C2-A967B9B39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C83DA9-9F8A-4503-8B17-056912501D5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1007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Stawarz Lidia [PGE Dystr. O.Rzeszów]</cp:lastModifiedBy>
  <cp:revision>4</cp:revision>
  <cp:lastPrinted>2017-05-29T09:28:00Z</cp:lastPrinted>
  <dcterms:created xsi:type="dcterms:W3CDTF">2025-06-01T08:46:00Z</dcterms:created>
  <dcterms:modified xsi:type="dcterms:W3CDTF">2025-07-04T05:52:00Z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0x010189100072774B0680DB8142B17E62E4832D1A2A</vt:lpwstr>
  </property>
  <property fmtid="{D5CDD505-2E9C-101B-9397-08002B2CF9AE}" pid="3" name="_dlc_DocIdItemGuid">
    <vt:lpwstr>025c1623-364e-464d-bb63-0bd097ddfd11</vt:lpwstr>
  </property>
</Properties>
</file>